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3FAA" w14:textId="0ACBACF1" w:rsidR="00A362FC" w:rsidRPr="00A362FC" w:rsidRDefault="009059F9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="00A362FC" w:rsidRPr="00A362FC">
        <w:rPr>
          <w:b/>
          <w:bCs/>
          <w:sz w:val="28"/>
          <w:szCs w:val="28"/>
          <w:lang w:val="en-US"/>
        </w:rPr>
        <w:t>Antarctic Wildlife Research Fund</w:t>
      </w:r>
      <w:r w:rsidR="00957815">
        <w:rPr>
          <w:b/>
          <w:bCs/>
          <w:sz w:val="28"/>
          <w:szCs w:val="28"/>
          <w:lang w:val="en-US"/>
        </w:rPr>
        <w:t xml:space="preserve"> (AWR)</w:t>
      </w:r>
      <w:r w:rsidR="00A362FC" w:rsidRPr="00A362FC">
        <w:rPr>
          <w:b/>
          <w:bCs/>
          <w:sz w:val="28"/>
          <w:szCs w:val="28"/>
          <w:lang w:val="en-US"/>
        </w:rPr>
        <w:t xml:space="preserve"> </w:t>
      </w:r>
    </w:p>
    <w:p w14:paraId="5A92522B" w14:textId="56CB70DA"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</w:t>
      </w:r>
      <w:r w:rsidR="00B3277D">
        <w:rPr>
          <w:b/>
          <w:bCs/>
          <w:sz w:val="28"/>
          <w:szCs w:val="28"/>
          <w:lang w:val="en-US"/>
        </w:rPr>
        <w:t>2</w:t>
      </w:r>
      <w:r w:rsidR="00445AC6">
        <w:rPr>
          <w:b/>
          <w:bCs/>
          <w:sz w:val="28"/>
          <w:szCs w:val="28"/>
          <w:lang w:val="en-US"/>
        </w:rPr>
        <w:t>3</w:t>
      </w:r>
    </w:p>
    <w:p w14:paraId="3A672DAA" w14:textId="77777777"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14:paraId="234F97C5" w14:textId="26311627"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14:paraId="3F7E1F35" w14:textId="77777777"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</w:t>
      </w:r>
      <w:proofErr w:type="gramStart"/>
      <w:r w:rsidRPr="002560EA">
        <w:rPr>
          <w:sz w:val="22"/>
          <w:szCs w:val="22"/>
          <w:lang w:val="en-US"/>
        </w:rPr>
        <w:t>);</w:t>
      </w:r>
      <w:proofErr w:type="gramEnd"/>
    </w:p>
    <w:p w14:paraId="64800865" w14:textId="13880138"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AWR), the AWR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  <w:r w:rsidR="00957815">
        <w:rPr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"/>
        <w:gridCol w:w="1782"/>
        <w:gridCol w:w="1698"/>
        <w:gridCol w:w="898"/>
        <w:gridCol w:w="3092"/>
        <w:gridCol w:w="1402"/>
      </w:tblGrid>
      <w:tr w:rsidR="00957815" w:rsidRPr="002560EA" w14:paraId="7016DCD9" w14:textId="77777777" w:rsidTr="00957815">
        <w:tc>
          <w:tcPr>
            <w:tcW w:w="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ECF0A3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7C7E60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AD072A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5B64150" w14:textId="0483704D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 xml:space="preserve">Gender </w:t>
            </w:r>
          </w:p>
        </w:tc>
        <w:tc>
          <w:tcPr>
            <w:tcW w:w="30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9CB883F" w14:textId="5EE30150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036C456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957815" w:rsidRPr="002560EA" w14:paraId="6DF7F997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823673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1782" w:type="dxa"/>
            <w:shd w:val="clear" w:color="auto" w:fill="D8D8D8"/>
          </w:tcPr>
          <w:p w14:paraId="413BA8E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28CAC244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6DC9E2A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058B6E38" w14:textId="7BF47F70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511000B5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199C6A9C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D2F0DE4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7134BD5D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0F519B5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3CD366A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48C00FB9" w14:textId="7509CB6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0B2806E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4D34EAD4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B2B51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  <w:shd w:val="clear" w:color="auto" w:fill="D8D8D8"/>
          </w:tcPr>
          <w:p w14:paraId="02DA2C1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06D9538F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0D986F37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5A673E16" w14:textId="42AD4E0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45C5B8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07A00708" w14:textId="77777777" w:rsidTr="00957815">
        <w:tc>
          <w:tcPr>
            <w:tcW w:w="465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221ACFF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60F66E47" w14:textId="35E5280C" w:rsidR="00957815" w:rsidRPr="002560EA" w:rsidRDefault="00957815" w:rsidP="00957815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560EA">
              <w:rPr>
                <w:color w:val="FF0000"/>
                <w:sz w:val="22"/>
                <w:szCs w:val="22"/>
                <w:lang w:val="en-US"/>
              </w:rPr>
              <w:t>as necessary.</w:t>
            </w:r>
          </w:p>
        </w:tc>
        <w:tc>
          <w:tcPr>
            <w:tcW w:w="1698" w:type="dxa"/>
          </w:tcPr>
          <w:p w14:paraId="68F18A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89D2616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154C4FBB" w14:textId="2BEF5BA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</w:tcPr>
          <w:p w14:paraId="2B9B8091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13A74E8" w14:textId="77777777"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PI: Principal Investigator and point of contact for the </w:t>
      </w:r>
      <w:proofErr w:type="gramStart"/>
      <w:r w:rsidRPr="002560EA">
        <w:rPr>
          <w:sz w:val="22"/>
          <w:szCs w:val="22"/>
          <w:lang w:val="en-US"/>
        </w:rPr>
        <w:t>proposal;</w:t>
      </w:r>
      <w:proofErr w:type="gramEnd"/>
    </w:p>
    <w:p w14:paraId="5AA3A832" w14:textId="77777777"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14:paraId="53785DAE" w14:textId="781E4028" w:rsidR="00A80BD1" w:rsidRDefault="00957815" w:rsidP="00DA4FBD">
      <w:pPr>
        <w:pStyle w:val="Default"/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50248A" w:rsidRPr="00A00300">
        <w:rPr>
          <w:b/>
          <w:bCs/>
          <w:lang w:val="en-US"/>
        </w:rPr>
        <w:t>3. Project Scope, Objectives and Background</w:t>
      </w:r>
    </w:p>
    <w:p w14:paraId="4BAEBC0B" w14:textId="77777777"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14:paraId="0970D80D" w14:textId="77777777"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14:paraId="491D2D55" w14:textId="77777777"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 xml:space="preserve">00 </w:t>
      </w:r>
      <w:proofErr w:type="gramStart"/>
      <w:r w:rsidR="0050248A"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7F610212" w14:textId="77777777"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14:paraId="479977D5" w14:textId="77777777"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6596F3A1" w14:textId="77777777"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14:paraId="6B0D4BBD" w14:textId="77777777"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</w:t>
      </w:r>
      <w:proofErr w:type="gramStart"/>
      <w:r w:rsidRPr="00A00300">
        <w:rPr>
          <w:b/>
          <w:bCs/>
          <w:lang w:val="en-US"/>
        </w:rPr>
        <w:t>methods</w:t>
      </w:r>
      <w:proofErr w:type="gramEnd"/>
      <w:r w:rsidRPr="00A00300">
        <w:rPr>
          <w:b/>
          <w:bCs/>
          <w:lang w:val="en-US"/>
        </w:rPr>
        <w:t xml:space="preserve"> and Gantt </w:t>
      </w:r>
      <w:r w:rsidR="002B147A" w:rsidRPr="00A00300">
        <w:rPr>
          <w:b/>
          <w:bCs/>
          <w:lang w:val="en-US"/>
        </w:rPr>
        <w:t>chart</w:t>
      </w:r>
    </w:p>
    <w:p w14:paraId="781F9335" w14:textId="77777777"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14:paraId="6E5F5AB4" w14:textId="77777777"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proofErr w:type="spellStart"/>
      <w:r w:rsidR="007A0B7E">
        <w:rPr>
          <w:b/>
          <w:bCs/>
        </w:rPr>
        <w:t>b</w:t>
      </w:r>
      <w:r w:rsidRPr="00A00300">
        <w:rPr>
          <w:b/>
          <w:bCs/>
        </w:rPr>
        <w:t>udget</w:t>
      </w:r>
      <w:proofErr w:type="spellEnd"/>
      <w:r w:rsidRPr="00A00300">
        <w:rPr>
          <w:b/>
          <w:bCs/>
        </w:rPr>
        <w:t xml:space="preserve"> </w:t>
      </w:r>
    </w:p>
    <w:p w14:paraId="5B278E5F" w14:textId="77777777"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178DAA68" w14:textId="77777777"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 xml:space="preserve">or </w:t>
      </w:r>
      <w:proofErr w:type="gramStart"/>
      <w:r>
        <w:rPr>
          <w:sz w:val="22"/>
          <w:szCs w:val="22"/>
          <w:lang w:val="en-US"/>
        </w:rPr>
        <w:t>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  <w:proofErr w:type="gramEnd"/>
    </w:p>
    <w:p w14:paraId="30CF0DBB" w14:textId="6792652B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proofErr w:type="gramStart"/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>;</w:t>
      </w:r>
      <w:proofErr w:type="gramEnd"/>
    </w:p>
    <w:p w14:paraId="124E9062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 xml:space="preserve">s involved in the </w:t>
      </w:r>
      <w:proofErr w:type="gramStart"/>
      <w:r w:rsidRPr="00A00300">
        <w:rPr>
          <w:sz w:val="22"/>
          <w:szCs w:val="22"/>
          <w:lang w:val="en-US"/>
        </w:rPr>
        <w:t>proposal</w:t>
      </w:r>
      <w:r w:rsidR="00A00300" w:rsidRPr="00A00300">
        <w:rPr>
          <w:sz w:val="22"/>
          <w:szCs w:val="22"/>
          <w:lang w:val="en-US"/>
        </w:rPr>
        <w:t>;</w:t>
      </w:r>
      <w:proofErr w:type="gramEnd"/>
    </w:p>
    <w:p w14:paraId="6B05C415" w14:textId="32A7B9DF"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lastRenderedPageBreak/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14:paraId="57405A94" w14:textId="77777777"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</w:t>
      </w:r>
      <w:proofErr w:type="spellStart"/>
      <w:r w:rsidRPr="00A00300">
        <w:rPr>
          <w:b/>
          <w:bCs/>
        </w:rPr>
        <w:t>Linkages</w:t>
      </w:r>
      <w:proofErr w:type="spellEnd"/>
      <w:r w:rsidRPr="00A00300">
        <w:rPr>
          <w:b/>
          <w:bCs/>
        </w:rPr>
        <w:t xml:space="preserve"> </w:t>
      </w:r>
    </w:p>
    <w:p w14:paraId="5ADFD0D5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575B58E3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 xml:space="preserve">and what will happen to </w:t>
      </w:r>
      <w:proofErr w:type="gramStart"/>
      <w:r>
        <w:rPr>
          <w:sz w:val="22"/>
          <w:szCs w:val="22"/>
          <w:lang w:val="en-US"/>
        </w:rPr>
        <w:t>it;</w:t>
      </w:r>
      <w:proofErr w:type="gramEnd"/>
    </w:p>
    <w:p w14:paraId="666DF0AD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 xml:space="preserve">linked to other relevant </w:t>
      </w:r>
      <w:proofErr w:type="gramStart"/>
      <w:r w:rsidR="003178B4" w:rsidRPr="00A00300">
        <w:rPr>
          <w:sz w:val="22"/>
          <w:szCs w:val="22"/>
          <w:lang w:val="en-US"/>
        </w:rPr>
        <w:t>research</w:t>
      </w:r>
      <w:r>
        <w:rPr>
          <w:sz w:val="22"/>
          <w:szCs w:val="22"/>
          <w:lang w:val="en-US"/>
        </w:rPr>
        <w:t>;</w:t>
      </w:r>
      <w:proofErr w:type="gramEnd"/>
    </w:p>
    <w:p w14:paraId="22B7127D" w14:textId="77777777"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</w:t>
      </w:r>
      <w:proofErr w:type="spellStart"/>
      <w:r w:rsidR="003178B4" w:rsidRPr="00A00300">
        <w:rPr>
          <w:sz w:val="22"/>
          <w:szCs w:val="22"/>
          <w:lang w:val="en-US"/>
        </w:rPr>
        <w:t>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>s</w:t>
      </w:r>
      <w:proofErr w:type="spellEnd"/>
      <w:r w:rsidR="003178B4" w:rsidRPr="00A003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14:paraId="644CFFA1" w14:textId="77777777"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proofErr w:type="spellStart"/>
      <w:r>
        <w:rPr>
          <w:b/>
          <w:bCs/>
        </w:rPr>
        <w:t>Outreach</w:t>
      </w:r>
      <w:proofErr w:type="spellEnd"/>
      <w:r w:rsidRPr="00A00300">
        <w:rPr>
          <w:b/>
          <w:bCs/>
        </w:rPr>
        <w:t xml:space="preserve"> </w:t>
      </w:r>
    </w:p>
    <w:p w14:paraId="78F7A27F" w14:textId="77777777"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words;</w:t>
      </w:r>
      <w:proofErr w:type="gramEnd"/>
      <w:r w:rsidRPr="00A00300">
        <w:rPr>
          <w:sz w:val="22"/>
          <w:szCs w:val="22"/>
          <w:lang w:val="en-US"/>
        </w:rPr>
        <w:t xml:space="preserve"> </w:t>
      </w:r>
    </w:p>
    <w:p w14:paraId="4F21C843" w14:textId="10CB2DB5"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proofErr w:type="spellStart"/>
      <w:proofErr w:type="gramStart"/>
      <w:r w:rsidR="00C54FD2">
        <w:rPr>
          <w:sz w:val="22"/>
          <w:szCs w:val="22"/>
          <w:lang w:val="en-US"/>
        </w:rPr>
        <w:t>a</w:t>
      </w:r>
      <w:proofErr w:type="spellEnd"/>
      <w:proofErr w:type="gramEnd"/>
      <w:r w:rsidR="00C54FD2">
        <w:rPr>
          <w:sz w:val="22"/>
          <w:szCs w:val="22"/>
          <w:lang w:val="en-US"/>
        </w:rPr>
        <w:t xml:space="preserve">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14:paraId="5E0CA25B" w14:textId="77777777"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proofErr w:type="gramStart"/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  <w:proofErr w:type="gramEnd"/>
    </w:p>
    <w:p w14:paraId="25BD6C1B" w14:textId="486A8947" w:rsidR="00201FFB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</w:p>
    <w:p w14:paraId="4FA0E7CB" w14:textId="7FD7EC65" w:rsidR="00957815" w:rsidRPr="00A00300" w:rsidRDefault="00957815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="00843F96">
        <w:rPr>
          <w:sz w:val="22"/>
          <w:szCs w:val="22"/>
          <w:lang w:val="en-US"/>
        </w:rPr>
        <w:t xml:space="preserve">brief </w:t>
      </w:r>
      <w:r>
        <w:rPr>
          <w:sz w:val="22"/>
          <w:szCs w:val="22"/>
          <w:lang w:val="en-US"/>
        </w:rPr>
        <w:t>qualitative description of how the proposal will meet the criterions of gender and regional diversity</w:t>
      </w:r>
      <w:r w:rsidR="00DF073B">
        <w:rPr>
          <w:rStyle w:val="FootnoteReference"/>
          <w:sz w:val="22"/>
          <w:szCs w:val="22"/>
          <w:lang w:val="en-US"/>
        </w:rPr>
        <w:footnoteReference w:id="3"/>
      </w:r>
      <w:r>
        <w:rPr>
          <w:sz w:val="22"/>
          <w:szCs w:val="22"/>
          <w:lang w:val="en-US"/>
        </w:rPr>
        <w:t xml:space="preserve"> and will engage early career scientists</w:t>
      </w:r>
      <w:r w:rsidR="00480400">
        <w:rPr>
          <w:rStyle w:val="FootnoteReference"/>
          <w:sz w:val="22"/>
          <w:szCs w:val="22"/>
          <w:lang w:val="en-US"/>
        </w:rPr>
        <w:footnoteReference w:id="4"/>
      </w:r>
    </w:p>
    <w:p w14:paraId="6EE902A0" w14:textId="77777777"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14:paraId="7C16A484" w14:textId="73796C74"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14:paraId="0BB2477B" w14:textId="77777777"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 xml:space="preserve">9. </w:t>
      </w:r>
      <w:proofErr w:type="spellStart"/>
      <w:r w:rsidRPr="00B47B6A">
        <w:rPr>
          <w:b/>
          <w:bCs/>
        </w:rPr>
        <w:t>Submission</w:t>
      </w:r>
      <w:proofErr w:type="spellEnd"/>
    </w:p>
    <w:p w14:paraId="516CDFF9" w14:textId="0A696D1C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pm, CET on </w:t>
      </w:r>
      <w:bookmarkStart w:id="0" w:name="_Hlk54168337"/>
      <w:r w:rsidR="00445AC6">
        <w:rPr>
          <w:b/>
          <w:bCs/>
          <w:sz w:val="22"/>
          <w:szCs w:val="22"/>
          <w:lang w:val="en-US"/>
        </w:rPr>
        <w:t>5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5D7547">
        <w:rPr>
          <w:b/>
          <w:bCs/>
          <w:sz w:val="22"/>
          <w:szCs w:val="22"/>
          <w:lang w:val="en-US"/>
        </w:rPr>
        <w:t>April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8C1D7F" w:rsidRPr="00957815">
        <w:rPr>
          <w:b/>
          <w:bCs/>
          <w:sz w:val="22"/>
          <w:szCs w:val="22"/>
          <w:lang w:val="en-US"/>
        </w:rPr>
        <w:t>20</w:t>
      </w:r>
      <w:r w:rsidR="00B3277D" w:rsidRPr="00957815">
        <w:rPr>
          <w:b/>
          <w:bCs/>
          <w:sz w:val="22"/>
          <w:szCs w:val="22"/>
          <w:lang w:val="en-US"/>
        </w:rPr>
        <w:t>2</w:t>
      </w:r>
      <w:bookmarkEnd w:id="0"/>
      <w:r w:rsidR="00445AC6">
        <w:rPr>
          <w:b/>
          <w:bCs/>
          <w:sz w:val="22"/>
          <w:szCs w:val="22"/>
          <w:lang w:val="en-US"/>
        </w:rPr>
        <w:t>3</w:t>
      </w:r>
      <w:r w:rsidR="008C1D7F">
        <w:rPr>
          <w:sz w:val="22"/>
          <w:szCs w:val="22"/>
          <w:lang w:val="en-US"/>
        </w:rPr>
        <w:t>.</w:t>
      </w:r>
    </w:p>
    <w:p w14:paraId="58D92654" w14:textId="77777777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14:paraId="1DA03A50" w14:textId="77777777" w:rsidR="00B47B6A" w:rsidRPr="00B81312" w:rsidRDefault="00B81312" w:rsidP="00395063">
      <w:pPr>
        <w:pStyle w:val="Default"/>
        <w:ind w:left="681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445A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92FE" w14:textId="77777777" w:rsidR="001F154D" w:rsidRDefault="001F154D" w:rsidP="00A00300">
      <w:pPr>
        <w:spacing w:after="0" w:line="240" w:lineRule="auto"/>
      </w:pPr>
      <w:r>
        <w:separator/>
      </w:r>
    </w:p>
  </w:endnote>
  <w:endnote w:type="continuationSeparator" w:id="0">
    <w:p w14:paraId="5F5A9224" w14:textId="77777777" w:rsidR="001F154D" w:rsidRDefault="001F154D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333F" w14:textId="77777777"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14:paraId="62E9F923" w14:textId="77777777"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EAEB" w14:textId="77777777" w:rsidR="001F154D" w:rsidRDefault="001F154D" w:rsidP="00A00300">
      <w:pPr>
        <w:spacing w:after="0" w:line="240" w:lineRule="auto"/>
      </w:pPr>
      <w:r>
        <w:separator/>
      </w:r>
    </w:p>
  </w:footnote>
  <w:footnote w:type="continuationSeparator" w:id="0">
    <w:p w14:paraId="02877734" w14:textId="77777777" w:rsidR="001F154D" w:rsidRDefault="001F154D" w:rsidP="00A00300">
      <w:pPr>
        <w:spacing w:after="0" w:line="240" w:lineRule="auto"/>
      </w:pPr>
      <w:r>
        <w:continuationSeparator/>
      </w:r>
    </w:p>
  </w:footnote>
  <w:footnote w:id="1">
    <w:p w14:paraId="39F8D8C8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1" w:history="1">
        <w:proofErr w:type="spellStart"/>
        <w:r w:rsidRPr="00B81312">
          <w:rPr>
            <w:rStyle w:val="Hyperlink"/>
          </w:rPr>
          <w:t>Scientific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Research</w:t>
        </w:r>
        <w:proofErr w:type="spellEnd"/>
        <w:r w:rsidRPr="00B81312">
          <w:rPr>
            <w:rStyle w:val="Hyperlink"/>
          </w:rPr>
          <w:t xml:space="preserve"> Plan</w:t>
        </w:r>
      </w:hyperlink>
    </w:p>
  </w:footnote>
  <w:footnote w:id="2">
    <w:p w14:paraId="1AA131D9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2" w:history="1">
        <w:proofErr w:type="spellStart"/>
        <w:r w:rsidRPr="00B81312">
          <w:rPr>
            <w:rStyle w:val="Hyperlink"/>
          </w:rPr>
          <w:t>Call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for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Proposals</w:t>
        </w:r>
        <w:proofErr w:type="spellEnd"/>
      </w:hyperlink>
    </w:p>
  </w:footnote>
  <w:footnote w:id="3">
    <w:p w14:paraId="1994E81D" w14:textId="07A4D0D6" w:rsidR="00DF073B" w:rsidRPr="00DF073B" w:rsidRDefault="00DF0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South </w:t>
      </w:r>
      <w:proofErr w:type="spellStart"/>
      <w:r>
        <w:t>America</w:t>
      </w:r>
      <w:proofErr w:type="spellEnd"/>
      <w:r>
        <w:t xml:space="preserve">, Asia, </w:t>
      </w:r>
      <w:proofErr w:type="spellStart"/>
      <w:r>
        <w:t>Africa</w:t>
      </w:r>
      <w:proofErr w:type="spellEnd"/>
      <w:r>
        <w:t xml:space="preserve"> and </w:t>
      </w:r>
      <w:proofErr w:type="spellStart"/>
      <w:r>
        <w:t>Russia</w:t>
      </w:r>
      <w:proofErr w:type="spellEnd"/>
      <w:r>
        <w:t xml:space="preserve"> </w:t>
      </w:r>
    </w:p>
  </w:footnote>
  <w:footnote w:id="4">
    <w:p w14:paraId="5924C421" w14:textId="2A177A6A" w:rsidR="00480400" w:rsidRPr="00480400" w:rsidRDefault="004804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AWRs</w:t>
      </w:r>
      <w:proofErr w:type="spellEnd"/>
      <w:r>
        <w:t xml:space="preserve"> </w:t>
      </w:r>
      <w:proofErr w:type="spellStart"/>
      <w:r>
        <w:t>d</w:t>
      </w:r>
      <w:r>
        <w:rPr>
          <w:bCs/>
        </w:rPr>
        <w:t>efinition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early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scientist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years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terminal </w:t>
      </w:r>
      <w:proofErr w:type="spellStart"/>
      <w:r>
        <w:rPr>
          <w:bCs/>
        </w:rPr>
        <w:t>degree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9E4" w14:textId="737C7D6B" w:rsidR="00957815" w:rsidRDefault="00445AC6" w:rsidP="00445AC6">
    <w:pPr>
      <w:pStyle w:val="Header"/>
      <w:tabs>
        <w:tab w:val="center" w:pos="4680"/>
        <w:tab w:val="left" w:pos="8330"/>
      </w:tabs>
    </w:pPr>
    <w:r>
      <w:tab/>
    </w:r>
    <w:r w:rsidRPr="00445AC6">
      <w:drawing>
        <wp:inline distT="0" distB="0" distL="0" distR="0" wp14:anchorId="36E6A033" wp14:editId="100DC2EB">
          <wp:extent cx="2844800" cy="614522"/>
          <wp:effectExtent l="0" t="0" r="0" b="0"/>
          <wp:docPr id="1" name="Picture 4" descr="AWR">
            <a:extLst xmlns:a="http://schemas.openxmlformats.org/drawingml/2006/main">
              <a:ext uri="{FF2B5EF4-FFF2-40B4-BE49-F238E27FC236}">
                <a16:creationId xmlns:a16="http://schemas.microsoft.com/office/drawing/2014/main" id="{8D90EFB2-CD8C-BFA4-2EC3-8AAF2CFDF2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WR">
                    <a:extLst>
                      <a:ext uri="{FF2B5EF4-FFF2-40B4-BE49-F238E27FC236}">
                        <a16:creationId xmlns:a16="http://schemas.microsoft.com/office/drawing/2014/main" id="{8D90EFB2-CD8C-BFA4-2EC3-8AAF2CFDF2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998" cy="624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C2AD9"/>
    <w:rsid w:val="001D675C"/>
    <w:rsid w:val="001F154D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95063"/>
    <w:rsid w:val="003F114F"/>
    <w:rsid w:val="00445AC6"/>
    <w:rsid w:val="00447718"/>
    <w:rsid w:val="004563E2"/>
    <w:rsid w:val="00456F63"/>
    <w:rsid w:val="00480400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5D7547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7631A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43F96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059F9"/>
    <w:rsid w:val="009123A1"/>
    <w:rsid w:val="00913C97"/>
    <w:rsid w:val="00953D68"/>
    <w:rsid w:val="00957815"/>
    <w:rsid w:val="00975D84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3277D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005C"/>
    <w:rsid w:val="00C94105"/>
    <w:rsid w:val="00CA7AF7"/>
    <w:rsid w:val="00CB24EA"/>
    <w:rsid w:val="00CB4212"/>
    <w:rsid w:val="00CC4CBD"/>
    <w:rsid w:val="00CC5CE1"/>
    <w:rsid w:val="00CE0ED4"/>
    <w:rsid w:val="00CE4BC5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DF073B"/>
    <w:rsid w:val="00E016AC"/>
    <w:rsid w:val="00E15077"/>
    <w:rsid w:val="00E23FCA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0D55E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D6B2-87D2-4E46-B8E7-D571CA7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3861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Skogrand</cp:lastModifiedBy>
  <cp:revision>2</cp:revision>
  <dcterms:created xsi:type="dcterms:W3CDTF">2022-10-11T02:53:00Z</dcterms:created>
  <dcterms:modified xsi:type="dcterms:W3CDTF">2022-10-11T02:53:00Z</dcterms:modified>
</cp:coreProperties>
</file>